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A8E8A" w14:textId="79C1599F" w:rsidR="00E47A9A" w:rsidRPr="00E47A9A" w:rsidRDefault="00E47A9A" w:rsidP="00E47A9A">
      <w:pPr>
        <w:spacing w:line="281" w:lineRule="auto"/>
        <w:jc w:val="both"/>
        <w:rPr>
          <w:rFonts w:ascii="Arial" w:hAnsi="Arial" w:cs="Arial"/>
          <w:i/>
          <w:sz w:val="18"/>
          <w:szCs w:val="18"/>
          <w:lang w:val="en-US"/>
        </w:rPr>
      </w:pPr>
      <w:r w:rsidRPr="00E47A9A">
        <w:rPr>
          <w:rFonts w:ascii="Arial" w:hAnsi="Arial" w:cs="Arial"/>
          <w:i/>
          <w:sz w:val="18"/>
          <w:szCs w:val="18"/>
          <w:lang w:val="en-US"/>
        </w:rPr>
        <w:t>World premiere: PH Cell Twin</w:t>
      </w:r>
    </w:p>
    <w:p w14:paraId="7EFB1BCC" w14:textId="229A8B8F" w:rsidR="00E47A9A" w:rsidRPr="00E47A9A" w:rsidRDefault="00E47A9A" w:rsidP="00E47A9A">
      <w:pPr>
        <w:spacing w:line="281" w:lineRule="auto"/>
        <w:jc w:val="both"/>
        <w:rPr>
          <w:rFonts w:ascii="Arial" w:hAnsi="Arial" w:cs="Arial"/>
          <w:b/>
          <w:sz w:val="24"/>
          <w:lang w:val="en-US"/>
        </w:rPr>
      </w:pPr>
      <w:r w:rsidRPr="00E47A9A">
        <w:rPr>
          <w:rFonts w:ascii="Arial" w:hAnsi="Arial" w:cs="Arial"/>
          <w:b/>
          <w:sz w:val="24"/>
          <w:lang w:val="en-US"/>
        </w:rPr>
        <w:t>With the ergonomic Twin solution, DMG MORI enables automation for two machining centers.</w:t>
      </w:r>
    </w:p>
    <w:p w14:paraId="02664EE2" w14:textId="77777777" w:rsidR="00E47A9A" w:rsidRPr="00E47A9A" w:rsidRDefault="00E47A9A" w:rsidP="00E47A9A">
      <w:pPr>
        <w:spacing w:line="281" w:lineRule="auto"/>
        <w:jc w:val="both"/>
        <w:rPr>
          <w:rFonts w:ascii="Arial" w:hAnsi="Arial" w:cs="Arial"/>
          <w:lang w:val="en-US"/>
        </w:rPr>
      </w:pPr>
    </w:p>
    <w:p w14:paraId="29ECEBA0" w14:textId="28F7E13A" w:rsidR="00E47A9A" w:rsidRPr="00E47A9A" w:rsidRDefault="00E47A9A" w:rsidP="00E47A9A">
      <w:pPr>
        <w:spacing w:line="280" w:lineRule="auto"/>
        <w:jc w:val="both"/>
        <w:rPr>
          <w:rFonts w:ascii="Arial" w:hAnsi="Arial" w:cs="Arial"/>
          <w:b/>
          <w:sz w:val="28"/>
          <w:lang w:val="en-US"/>
        </w:rPr>
      </w:pPr>
      <w:r w:rsidRPr="00E47A9A">
        <w:rPr>
          <w:rFonts w:ascii="Arial" w:hAnsi="Arial" w:cs="Arial"/>
          <w:b/>
          <w:sz w:val="28"/>
          <w:lang w:val="en-US"/>
        </w:rPr>
        <w:t xml:space="preserve">PH Cell Twin: </w:t>
      </w:r>
      <w:r>
        <w:rPr>
          <w:rFonts w:ascii="Arial" w:hAnsi="Arial" w:cs="Arial"/>
          <w:b/>
          <w:sz w:val="28"/>
          <w:lang w:val="en-US"/>
        </w:rPr>
        <w:t>m</w:t>
      </w:r>
      <w:r w:rsidRPr="00E47A9A">
        <w:rPr>
          <w:rFonts w:ascii="Arial" w:hAnsi="Arial" w:cs="Arial"/>
          <w:b/>
          <w:sz w:val="28"/>
          <w:lang w:val="en-US"/>
        </w:rPr>
        <w:t>odular and compact pallet handling for two machines</w:t>
      </w:r>
    </w:p>
    <w:p w14:paraId="01182376" w14:textId="77777777" w:rsidR="00E47A9A" w:rsidRPr="00E47A9A" w:rsidRDefault="00E47A9A" w:rsidP="00E47A9A">
      <w:pPr>
        <w:spacing w:line="281" w:lineRule="auto"/>
        <w:jc w:val="both"/>
        <w:rPr>
          <w:rFonts w:ascii="Arial" w:hAnsi="Arial" w:cs="Arial"/>
          <w:lang w:val="en-US"/>
        </w:rPr>
      </w:pPr>
    </w:p>
    <w:p w14:paraId="1615112E" w14:textId="3C27533D" w:rsidR="00E47A9A" w:rsidRPr="00E47A9A" w:rsidRDefault="00E47A9A" w:rsidP="00E47A9A">
      <w:pPr>
        <w:spacing w:line="281" w:lineRule="auto"/>
        <w:jc w:val="both"/>
        <w:rPr>
          <w:rFonts w:ascii="Arial" w:hAnsi="Arial" w:cs="Arial"/>
          <w:i/>
          <w:lang w:val="en-US"/>
        </w:rPr>
      </w:pPr>
      <w:r w:rsidRPr="00E47A9A">
        <w:rPr>
          <w:rFonts w:ascii="Arial" w:hAnsi="Arial" w:cs="Arial"/>
          <w:i/>
          <w:lang w:val="en-US"/>
        </w:rPr>
        <w:t>In the production of small batches, DMG MORI's PH Cell 300 and PH Cell 2000 have proven themselves with their high degree of flexibility and ease of operation. With the world premiere of the PH Cell Twin, the machine tool manufacturer is now expanding the range of its compact and modular pallet handling systems. The consistent development of the successful concept is designed to flexibly automate two machining centers. Depending on the design of the storage unit, it offers space for up to 30 pallets. The PH Cell Twin is compatible with various models of the DMU monoBLOCK, DMU H monoBLOCK and DMU eVo series as well as with the DMU 50 and the CMX U series. Both the pallet handling itself and the second machine are retrofittable.</w:t>
      </w:r>
    </w:p>
    <w:p w14:paraId="4140C4BD" w14:textId="77777777" w:rsidR="00E47A9A" w:rsidRPr="00E47A9A" w:rsidRDefault="00E47A9A" w:rsidP="00E47A9A">
      <w:pPr>
        <w:spacing w:line="281" w:lineRule="auto"/>
        <w:jc w:val="both"/>
        <w:rPr>
          <w:rFonts w:ascii="Arial" w:hAnsi="Arial" w:cs="Arial"/>
          <w:lang w:val="en-US"/>
        </w:rPr>
      </w:pPr>
    </w:p>
    <w:p w14:paraId="1CD8213C" w14:textId="006C29AA" w:rsidR="00E47A9A" w:rsidRPr="00E47A9A" w:rsidRDefault="00E47A9A" w:rsidP="00E47A9A">
      <w:pPr>
        <w:spacing w:line="281" w:lineRule="auto"/>
        <w:jc w:val="both"/>
        <w:rPr>
          <w:rFonts w:ascii="Arial" w:hAnsi="Arial" w:cs="Arial"/>
          <w:lang w:val="en-US"/>
        </w:rPr>
      </w:pPr>
      <w:r w:rsidRPr="00E47A9A">
        <w:rPr>
          <w:rFonts w:ascii="Arial" w:hAnsi="Arial" w:cs="Arial"/>
          <w:lang w:val="en-US"/>
        </w:rPr>
        <w:t>Automation solutions reduce personnel expenses during non-productive times and extend production capacity to unmanned night and weekend shifts. Against the background of increasing component variance and smaller batch sizes, flexible automation concepts are particularly in demand. DMG</w:t>
      </w:r>
      <w:r>
        <w:rPr>
          <w:rFonts w:ascii="Arial" w:hAnsi="Arial" w:cs="Arial"/>
          <w:lang w:val="en-US"/>
        </w:rPr>
        <w:t> </w:t>
      </w:r>
      <w:r w:rsidRPr="00E47A9A">
        <w:rPr>
          <w:rFonts w:ascii="Arial" w:hAnsi="Arial" w:cs="Arial"/>
          <w:lang w:val="en-US"/>
        </w:rPr>
        <w:t>MORI meets precisely this requirement with the pallet handling systems of the PH</w:t>
      </w:r>
      <w:r>
        <w:rPr>
          <w:rFonts w:ascii="Arial" w:hAnsi="Arial" w:cs="Arial"/>
          <w:lang w:val="en-US"/>
        </w:rPr>
        <w:t> </w:t>
      </w:r>
      <w:r w:rsidRPr="00E47A9A">
        <w:rPr>
          <w:rFonts w:ascii="Arial" w:hAnsi="Arial" w:cs="Arial"/>
          <w:lang w:val="en-US"/>
        </w:rPr>
        <w:t xml:space="preserve">Cell series, which now also includes a solution for two machines </w:t>
      </w:r>
      <w:r>
        <w:rPr>
          <w:rFonts w:ascii="Arial" w:hAnsi="Arial" w:cs="Arial"/>
          <w:lang w:val="en-US"/>
        </w:rPr>
        <w:t>– t</w:t>
      </w:r>
      <w:r w:rsidRPr="00E47A9A">
        <w:rPr>
          <w:rFonts w:ascii="Arial" w:hAnsi="Arial" w:cs="Arial"/>
          <w:lang w:val="en-US"/>
        </w:rPr>
        <w:t>he PH Cell Twin.</w:t>
      </w:r>
    </w:p>
    <w:p w14:paraId="2A7FCBB9" w14:textId="77777777" w:rsidR="00E47A9A" w:rsidRPr="00E47A9A" w:rsidRDefault="00E47A9A" w:rsidP="00E47A9A">
      <w:pPr>
        <w:spacing w:line="281" w:lineRule="auto"/>
        <w:jc w:val="both"/>
        <w:rPr>
          <w:rFonts w:ascii="Arial" w:hAnsi="Arial" w:cs="Arial"/>
          <w:lang w:val="en-US"/>
        </w:rPr>
      </w:pPr>
    </w:p>
    <w:p w14:paraId="03B73248" w14:textId="77777777" w:rsidR="00E47A9A" w:rsidRPr="00E47A9A" w:rsidRDefault="00E47A9A" w:rsidP="00E47A9A">
      <w:pPr>
        <w:spacing w:line="281" w:lineRule="auto"/>
        <w:jc w:val="both"/>
        <w:rPr>
          <w:rFonts w:ascii="Arial" w:hAnsi="Arial" w:cs="Arial"/>
          <w:b/>
          <w:lang w:val="en-US"/>
        </w:rPr>
      </w:pPr>
      <w:r w:rsidRPr="00E47A9A">
        <w:rPr>
          <w:rFonts w:ascii="Arial" w:hAnsi="Arial" w:cs="Arial"/>
          <w:b/>
          <w:lang w:val="en-US"/>
        </w:rPr>
        <w:t>Modular design for individual storage configuration</w:t>
      </w:r>
    </w:p>
    <w:p w14:paraId="26109EDE" w14:textId="5515F1CB" w:rsidR="00E47A9A" w:rsidRPr="00E47A9A" w:rsidRDefault="00E47A9A" w:rsidP="00E47A9A">
      <w:pPr>
        <w:spacing w:line="281" w:lineRule="auto"/>
        <w:jc w:val="both"/>
        <w:rPr>
          <w:rFonts w:ascii="Arial" w:hAnsi="Arial" w:cs="Arial"/>
          <w:lang w:val="en-US"/>
        </w:rPr>
      </w:pPr>
      <w:r w:rsidRPr="00E47A9A">
        <w:rPr>
          <w:rFonts w:ascii="Arial" w:hAnsi="Arial" w:cs="Arial"/>
          <w:lang w:val="en-US"/>
        </w:rPr>
        <w:t>The PH</w:t>
      </w:r>
      <w:r>
        <w:rPr>
          <w:rFonts w:ascii="Arial" w:hAnsi="Arial" w:cs="Arial"/>
          <w:lang w:val="en-US"/>
        </w:rPr>
        <w:t> </w:t>
      </w:r>
      <w:r w:rsidRPr="00E47A9A">
        <w:rPr>
          <w:rFonts w:ascii="Arial" w:hAnsi="Arial" w:cs="Arial"/>
          <w:lang w:val="en-US"/>
        </w:rPr>
        <w:t>Cell Twin can be loaded with up to 30 pallets of 320</w:t>
      </w:r>
      <w:r>
        <w:rPr>
          <w:rFonts w:ascii="Arial" w:hAnsi="Arial" w:cs="Arial"/>
          <w:lang w:val="en-US"/>
        </w:rPr>
        <w:t> </w:t>
      </w:r>
      <w:r w:rsidRPr="00E47A9A">
        <w:rPr>
          <w:rFonts w:ascii="Arial" w:hAnsi="Arial" w:cs="Arial"/>
          <w:lang w:val="en-US"/>
        </w:rPr>
        <w:t>x</w:t>
      </w:r>
      <w:r>
        <w:rPr>
          <w:rFonts w:ascii="Arial" w:hAnsi="Arial" w:cs="Arial"/>
          <w:lang w:val="en-US"/>
        </w:rPr>
        <w:t> </w:t>
      </w:r>
      <w:r w:rsidRPr="00E47A9A">
        <w:rPr>
          <w:rFonts w:ascii="Arial" w:hAnsi="Arial" w:cs="Arial"/>
          <w:lang w:val="en-US"/>
        </w:rPr>
        <w:t>320</w:t>
      </w:r>
      <w:r>
        <w:rPr>
          <w:rFonts w:ascii="Arial" w:hAnsi="Arial" w:cs="Arial"/>
          <w:lang w:val="en-US"/>
        </w:rPr>
        <w:t> </w:t>
      </w:r>
      <w:r w:rsidRPr="00E47A9A">
        <w:rPr>
          <w:rFonts w:ascii="Arial" w:hAnsi="Arial" w:cs="Arial"/>
          <w:lang w:val="en-US"/>
        </w:rPr>
        <w:t xml:space="preserve">mm. </w:t>
      </w:r>
      <w:proofErr w:type="gramStart"/>
      <w:r w:rsidRPr="00E47A9A">
        <w:rPr>
          <w:rFonts w:ascii="Arial" w:hAnsi="Arial" w:cs="Arial"/>
          <w:lang w:val="en-US"/>
        </w:rPr>
        <w:t>Larger</w:t>
      </w:r>
      <w:proofErr w:type="gramEnd"/>
      <w:r w:rsidRPr="00E47A9A">
        <w:rPr>
          <w:rFonts w:ascii="Arial" w:hAnsi="Arial" w:cs="Arial"/>
          <w:lang w:val="en-US"/>
        </w:rPr>
        <w:t xml:space="preserve"> pallets of 400</w:t>
      </w:r>
      <w:r>
        <w:rPr>
          <w:rFonts w:ascii="Arial" w:hAnsi="Arial" w:cs="Arial"/>
          <w:lang w:val="en-US"/>
        </w:rPr>
        <w:t> </w:t>
      </w:r>
      <w:r w:rsidRPr="00E47A9A">
        <w:rPr>
          <w:rFonts w:ascii="Arial" w:hAnsi="Arial" w:cs="Arial"/>
          <w:lang w:val="en-US"/>
        </w:rPr>
        <w:t>x</w:t>
      </w:r>
      <w:r>
        <w:rPr>
          <w:rFonts w:ascii="Arial" w:hAnsi="Arial" w:cs="Arial"/>
          <w:lang w:val="en-US"/>
        </w:rPr>
        <w:t> </w:t>
      </w:r>
      <w:r w:rsidRPr="00E47A9A">
        <w:rPr>
          <w:rFonts w:ascii="Arial" w:hAnsi="Arial" w:cs="Arial"/>
          <w:lang w:val="en-US"/>
        </w:rPr>
        <w:t>400</w:t>
      </w:r>
      <w:r>
        <w:rPr>
          <w:rFonts w:ascii="Arial" w:hAnsi="Arial" w:cs="Arial"/>
          <w:lang w:val="en-US"/>
        </w:rPr>
        <w:t> </w:t>
      </w:r>
      <w:r w:rsidRPr="00E47A9A">
        <w:rPr>
          <w:rFonts w:ascii="Arial" w:hAnsi="Arial" w:cs="Arial"/>
          <w:lang w:val="en-US"/>
        </w:rPr>
        <w:t>mm or 500</w:t>
      </w:r>
      <w:r>
        <w:rPr>
          <w:rFonts w:ascii="Arial" w:hAnsi="Arial" w:cs="Arial"/>
          <w:lang w:val="en-US"/>
        </w:rPr>
        <w:t> x 5</w:t>
      </w:r>
      <w:r w:rsidRPr="00E47A9A">
        <w:rPr>
          <w:rFonts w:ascii="Arial" w:hAnsi="Arial" w:cs="Arial"/>
          <w:lang w:val="en-US"/>
        </w:rPr>
        <w:t>00</w:t>
      </w:r>
      <w:r>
        <w:rPr>
          <w:rFonts w:ascii="Arial" w:hAnsi="Arial" w:cs="Arial"/>
          <w:lang w:val="en-US"/>
        </w:rPr>
        <w:t> </w:t>
      </w:r>
      <w:r w:rsidRPr="00E47A9A">
        <w:rPr>
          <w:rFonts w:ascii="Arial" w:hAnsi="Arial" w:cs="Arial"/>
          <w:lang w:val="en-US"/>
        </w:rPr>
        <w:t>mm can be loaded with 24 and 18 pallets respectively. Different sizes can also be combined in the system. The pallets are arranged in two rows, making the automation very compact. The maximum workpiece size is ø</w:t>
      </w:r>
      <w:r>
        <w:rPr>
          <w:rFonts w:ascii="Arial" w:hAnsi="Arial" w:cs="Arial"/>
          <w:lang w:val="en-US"/>
        </w:rPr>
        <w:t> </w:t>
      </w:r>
      <w:r w:rsidRPr="00E47A9A">
        <w:rPr>
          <w:rFonts w:ascii="Arial" w:hAnsi="Arial" w:cs="Arial"/>
          <w:lang w:val="en-US"/>
        </w:rPr>
        <w:t>500</w:t>
      </w:r>
      <w:r>
        <w:rPr>
          <w:rFonts w:ascii="Arial" w:hAnsi="Arial" w:cs="Arial"/>
          <w:lang w:val="en-US"/>
        </w:rPr>
        <w:t> </w:t>
      </w:r>
      <w:r w:rsidRPr="00E47A9A">
        <w:rPr>
          <w:rFonts w:ascii="Arial" w:hAnsi="Arial" w:cs="Arial"/>
          <w:lang w:val="en-US"/>
        </w:rPr>
        <w:t>x</w:t>
      </w:r>
      <w:r>
        <w:rPr>
          <w:rFonts w:ascii="Arial" w:hAnsi="Arial" w:cs="Arial"/>
          <w:lang w:val="en-US"/>
        </w:rPr>
        <w:t> </w:t>
      </w:r>
      <w:r w:rsidRPr="00E47A9A">
        <w:rPr>
          <w:rFonts w:ascii="Arial" w:hAnsi="Arial" w:cs="Arial"/>
          <w:lang w:val="en-US"/>
        </w:rPr>
        <w:t>500</w:t>
      </w:r>
      <w:r>
        <w:rPr>
          <w:rFonts w:ascii="Arial" w:hAnsi="Arial" w:cs="Arial"/>
          <w:lang w:val="en-US"/>
        </w:rPr>
        <w:t> </w:t>
      </w:r>
      <w:r w:rsidRPr="00E47A9A">
        <w:rPr>
          <w:rFonts w:ascii="Arial" w:hAnsi="Arial" w:cs="Arial"/>
          <w:lang w:val="en-US"/>
        </w:rPr>
        <w:t>mm with a workpiece weight of 300</w:t>
      </w:r>
      <w:r>
        <w:rPr>
          <w:rFonts w:ascii="Arial" w:hAnsi="Arial" w:cs="Arial"/>
          <w:lang w:val="en-US"/>
        </w:rPr>
        <w:t> </w:t>
      </w:r>
      <w:r w:rsidRPr="00E47A9A">
        <w:rPr>
          <w:rFonts w:ascii="Arial" w:hAnsi="Arial" w:cs="Arial"/>
          <w:lang w:val="en-US"/>
        </w:rPr>
        <w:t>kg including the pallet. The pallets can be set up ergonomically and in parallel with production time via the separate, optionally rotatable set-up station.</w:t>
      </w:r>
    </w:p>
    <w:p w14:paraId="66AB72A7" w14:textId="77777777" w:rsidR="00E47A9A" w:rsidRPr="00E47A9A" w:rsidRDefault="00E47A9A" w:rsidP="00E47A9A">
      <w:pPr>
        <w:spacing w:line="281" w:lineRule="auto"/>
        <w:jc w:val="both"/>
        <w:rPr>
          <w:rFonts w:ascii="Arial" w:hAnsi="Arial" w:cs="Arial"/>
          <w:lang w:val="en-US"/>
        </w:rPr>
      </w:pPr>
    </w:p>
    <w:p w14:paraId="5A5A5FDC" w14:textId="77777777" w:rsidR="00E47A9A" w:rsidRPr="00E47A9A" w:rsidRDefault="00E47A9A" w:rsidP="00E47A9A">
      <w:pPr>
        <w:spacing w:line="281" w:lineRule="auto"/>
        <w:jc w:val="both"/>
        <w:rPr>
          <w:rFonts w:ascii="Arial" w:hAnsi="Arial" w:cs="Arial"/>
          <w:b/>
          <w:lang w:val="en-US"/>
        </w:rPr>
      </w:pPr>
      <w:r w:rsidRPr="00E47A9A">
        <w:rPr>
          <w:rFonts w:ascii="Arial" w:hAnsi="Arial" w:cs="Arial"/>
          <w:b/>
          <w:lang w:val="en-US"/>
        </w:rPr>
        <w:t>Retrofittable and expandable</w:t>
      </w:r>
    </w:p>
    <w:p w14:paraId="43C9EB28" w14:textId="7AA500CE" w:rsidR="00E47A9A" w:rsidRDefault="00E47A9A" w:rsidP="00E47A9A">
      <w:pPr>
        <w:spacing w:line="281" w:lineRule="auto"/>
        <w:jc w:val="both"/>
        <w:rPr>
          <w:rFonts w:ascii="Arial" w:hAnsi="Arial" w:cs="Arial"/>
          <w:lang w:val="en-US"/>
        </w:rPr>
      </w:pPr>
      <w:r w:rsidRPr="00E47A9A">
        <w:rPr>
          <w:rFonts w:ascii="Arial" w:hAnsi="Arial" w:cs="Arial"/>
          <w:lang w:val="en-US"/>
        </w:rPr>
        <w:t>Thanks to its defined interface and modular design, the PH</w:t>
      </w:r>
      <w:r>
        <w:rPr>
          <w:rFonts w:ascii="Arial" w:hAnsi="Arial" w:cs="Arial"/>
          <w:lang w:val="en-US"/>
        </w:rPr>
        <w:t> </w:t>
      </w:r>
      <w:r w:rsidRPr="00E47A9A">
        <w:rPr>
          <w:rFonts w:ascii="Arial" w:hAnsi="Arial" w:cs="Arial"/>
          <w:lang w:val="en-US"/>
        </w:rPr>
        <w:t>Cell</w:t>
      </w:r>
      <w:r>
        <w:rPr>
          <w:rFonts w:ascii="Arial" w:hAnsi="Arial" w:cs="Arial"/>
          <w:lang w:val="en-US"/>
        </w:rPr>
        <w:t> </w:t>
      </w:r>
      <w:r w:rsidRPr="00E47A9A">
        <w:rPr>
          <w:rFonts w:ascii="Arial" w:hAnsi="Arial" w:cs="Arial"/>
          <w:lang w:val="en-US"/>
        </w:rPr>
        <w:t>Twin can be put into operation quickly and easily. Like its sister products, the new version can also be easily retrofitted to machining centers with an existing automation interface. The same applies to the connection of the second machine, which means that this investment can be postponed to a later date. All common smaller 5-axis machining centers are compatible with the PH</w:t>
      </w:r>
      <w:r>
        <w:rPr>
          <w:rFonts w:ascii="Arial" w:hAnsi="Arial" w:cs="Arial"/>
          <w:lang w:val="en-US"/>
        </w:rPr>
        <w:t> </w:t>
      </w:r>
      <w:r w:rsidRPr="00E47A9A">
        <w:rPr>
          <w:rFonts w:ascii="Arial" w:hAnsi="Arial" w:cs="Arial"/>
          <w:lang w:val="en-US"/>
        </w:rPr>
        <w:t>Cell</w:t>
      </w:r>
      <w:r>
        <w:rPr>
          <w:rFonts w:ascii="Arial" w:hAnsi="Arial" w:cs="Arial"/>
          <w:lang w:val="en-US"/>
        </w:rPr>
        <w:t> </w:t>
      </w:r>
      <w:r w:rsidRPr="00E47A9A">
        <w:rPr>
          <w:rFonts w:ascii="Arial" w:hAnsi="Arial" w:cs="Arial"/>
          <w:lang w:val="en-US"/>
        </w:rPr>
        <w:t>Twin: the DMU</w:t>
      </w:r>
      <w:r>
        <w:rPr>
          <w:rFonts w:ascii="Arial" w:hAnsi="Arial" w:cs="Arial"/>
          <w:lang w:val="en-US"/>
        </w:rPr>
        <w:t> </w:t>
      </w:r>
      <w:r w:rsidRPr="00E47A9A">
        <w:rPr>
          <w:rFonts w:ascii="Arial" w:hAnsi="Arial" w:cs="Arial"/>
          <w:lang w:val="en-US"/>
        </w:rPr>
        <w:t>65</w:t>
      </w:r>
      <w:r>
        <w:rPr>
          <w:rFonts w:ascii="Arial" w:hAnsi="Arial" w:cs="Arial"/>
          <w:lang w:val="en-US"/>
        </w:rPr>
        <w:t> </w:t>
      </w:r>
      <w:r w:rsidRPr="00E47A9A">
        <w:rPr>
          <w:rFonts w:ascii="Arial" w:hAnsi="Arial" w:cs="Arial"/>
          <w:lang w:val="en-US"/>
        </w:rPr>
        <w:t>/</w:t>
      </w:r>
      <w:r>
        <w:rPr>
          <w:rFonts w:ascii="Arial" w:hAnsi="Arial" w:cs="Arial"/>
          <w:lang w:val="en-US"/>
        </w:rPr>
        <w:t> </w:t>
      </w:r>
      <w:r w:rsidRPr="00E47A9A">
        <w:rPr>
          <w:rFonts w:ascii="Arial" w:hAnsi="Arial" w:cs="Arial"/>
          <w:lang w:val="en-US"/>
        </w:rPr>
        <w:t>75</w:t>
      </w:r>
      <w:r>
        <w:rPr>
          <w:rFonts w:ascii="Arial" w:hAnsi="Arial" w:cs="Arial"/>
          <w:lang w:val="en-US"/>
        </w:rPr>
        <w:t> </w:t>
      </w:r>
      <w:r w:rsidRPr="00E47A9A">
        <w:rPr>
          <w:rFonts w:ascii="Arial" w:hAnsi="Arial" w:cs="Arial"/>
          <w:lang w:val="en-US"/>
        </w:rPr>
        <w:t>monoBLOCK, the DMU</w:t>
      </w:r>
      <w:r>
        <w:rPr>
          <w:rFonts w:ascii="Arial" w:hAnsi="Arial" w:cs="Arial"/>
          <w:lang w:val="en-US"/>
        </w:rPr>
        <w:t> </w:t>
      </w:r>
      <w:r w:rsidRPr="00E47A9A">
        <w:rPr>
          <w:rFonts w:ascii="Arial" w:hAnsi="Arial" w:cs="Arial"/>
          <w:lang w:val="en-US"/>
        </w:rPr>
        <w:t>65</w:t>
      </w:r>
      <w:r>
        <w:rPr>
          <w:rFonts w:ascii="Arial" w:hAnsi="Arial" w:cs="Arial"/>
          <w:lang w:val="en-US"/>
        </w:rPr>
        <w:t> </w:t>
      </w:r>
      <w:r w:rsidRPr="00E47A9A">
        <w:rPr>
          <w:rFonts w:ascii="Arial" w:hAnsi="Arial" w:cs="Arial"/>
          <w:lang w:val="en-US"/>
        </w:rPr>
        <w:t>H</w:t>
      </w:r>
      <w:r>
        <w:rPr>
          <w:rFonts w:ascii="Arial" w:hAnsi="Arial" w:cs="Arial"/>
          <w:lang w:val="en-US"/>
        </w:rPr>
        <w:t> </w:t>
      </w:r>
      <w:r w:rsidRPr="00E47A9A">
        <w:rPr>
          <w:rFonts w:ascii="Arial" w:hAnsi="Arial" w:cs="Arial"/>
          <w:lang w:val="en-US"/>
        </w:rPr>
        <w:t>monoBLOCK, the DM</w:t>
      </w:r>
      <w:r>
        <w:rPr>
          <w:rFonts w:ascii="Arial" w:hAnsi="Arial" w:cs="Arial"/>
          <w:lang w:val="en-US"/>
        </w:rPr>
        <w:t>U 5</w:t>
      </w:r>
      <w:r w:rsidRPr="00E47A9A">
        <w:rPr>
          <w:rFonts w:ascii="Arial" w:hAnsi="Arial" w:cs="Arial"/>
          <w:lang w:val="en-US"/>
        </w:rPr>
        <w:t>0</w:t>
      </w:r>
      <w:r>
        <w:rPr>
          <w:rFonts w:ascii="Arial" w:hAnsi="Arial" w:cs="Arial"/>
          <w:lang w:val="en-US"/>
        </w:rPr>
        <w:t> </w:t>
      </w:r>
      <w:r w:rsidRPr="00E47A9A">
        <w:rPr>
          <w:rFonts w:ascii="Arial" w:hAnsi="Arial" w:cs="Arial"/>
          <w:lang w:val="en-US"/>
        </w:rPr>
        <w:t>3</w:t>
      </w:r>
      <w:r w:rsidRPr="00E47A9A">
        <w:rPr>
          <w:rFonts w:ascii="Arial" w:hAnsi="Arial" w:cs="Arial"/>
          <w:vertAlign w:val="superscript"/>
          <w:lang w:val="en-US"/>
        </w:rPr>
        <w:t>rd</w:t>
      </w:r>
      <w:r>
        <w:rPr>
          <w:rFonts w:ascii="Arial" w:hAnsi="Arial" w:cs="Arial"/>
          <w:lang w:val="en-US"/>
        </w:rPr>
        <w:t> </w:t>
      </w:r>
      <w:r w:rsidRPr="00E47A9A">
        <w:rPr>
          <w:rFonts w:ascii="Arial" w:hAnsi="Arial" w:cs="Arial"/>
          <w:lang w:val="en-US"/>
        </w:rPr>
        <w:t>Generation, the DMU</w:t>
      </w:r>
      <w:r>
        <w:rPr>
          <w:rFonts w:ascii="Arial" w:hAnsi="Arial" w:cs="Arial"/>
          <w:lang w:val="en-US"/>
        </w:rPr>
        <w:t> </w:t>
      </w:r>
      <w:r w:rsidRPr="00E47A9A">
        <w:rPr>
          <w:rFonts w:ascii="Arial" w:hAnsi="Arial" w:cs="Arial"/>
          <w:lang w:val="en-US"/>
        </w:rPr>
        <w:t>40 / 60 eVo and the CMX 50 / 70 U. Of course, the PH Cell Twin can also load two different machine models with pallets.</w:t>
      </w:r>
    </w:p>
    <w:p w14:paraId="5B3A89A5" w14:textId="77777777" w:rsidR="00E47A9A" w:rsidRDefault="00E47A9A" w:rsidP="00E47A9A">
      <w:pPr>
        <w:spacing w:line="281" w:lineRule="auto"/>
        <w:jc w:val="both"/>
        <w:rPr>
          <w:rFonts w:ascii="Arial" w:hAnsi="Arial" w:cs="Arial"/>
          <w:lang w:val="en-US"/>
        </w:rPr>
      </w:pPr>
    </w:p>
    <w:p w14:paraId="5EEE673A" w14:textId="5F6B9D98" w:rsidR="00E47A9A" w:rsidRDefault="00E47A9A" w:rsidP="00E47A9A">
      <w:pPr>
        <w:spacing w:line="281" w:lineRule="auto"/>
        <w:jc w:val="both"/>
        <w:rPr>
          <w:rFonts w:ascii="Arial" w:hAnsi="Arial" w:cs="Arial"/>
          <w:lang w:val="de-DE"/>
        </w:rPr>
      </w:pPr>
      <w:r w:rsidRPr="008D643F">
        <w:rPr>
          <w:rFonts w:ascii="Arial" w:hAnsi="Arial" w:cs="Arial"/>
          <w:noProof/>
          <w:lang w:val="de-DE" w:eastAsia="de-DE"/>
        </w:rPr>
        <w:drawing>
          <wp:inline distT="0" distB="0" distL="0" distR="0" wp14:anchorId="547D6D09" wp14:editId="6ACCD193">
            <wp:extent cx="3604260" cy="3275846"/>
            <wp:effectExtent l="0" t="0" r="0" b="1270"/>
            <wp:docPr id="1" name="Grafik 1" descr="Ein Bild, das Spielzeug, LE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pielzeug, LEGO enthält.&#10;&#10;Automatisch generierte Beschreibung"/>
                    <pic:cNvPicPr/>
                  </pic:nvPicPr>
                  <pic:blipFill>
                    <a:blip r:embed="rId8"/>
                    <a:stretch>
                      <a:fillRect/>
                    </a:stretch>
                  </pic:blipFill>
                  <pic:spPr>
                    <a:xfrm>
                      <a:off x="0" y="0"/>
                      <a:ext cx="3612705" cy="3283521"/>
                    </a:xfrm>
                    <a:prstGeom prst="rect">
                      <a:avLst/>
                    </a:prstGeom>
                  </pic:spPr>
                </pic:pic>
              </a:graphicData>
            </a:graphic>
          </wp:inline>
        </w:drawing>
      </w:r>
    </w:p>
    <w:p w14:paraId="3E89C7A8" w14:textId="46BD400A" w:rsidR="000C1DF9" w:rsidRDefault="000C1DF9" w:rsidP="00E47A9A">
      <w:pPr>
        <w:spacing w:line="281" w:lineRule="auto"/>
        <w:jc w:val="both"/>
        <w:rPr>
          <w:rFonts w:ascii="Arial" w:hAnsi="Arial" w:cs="Arial"/>
          <w:lang w:val="de-DE"/>
        </w:rPr>
      </w:pPr>
    </w:p>
    <w:p w14:paraId="654E8876" w14:textId="6FFDEF59" w:rsidR="000C1DF9" w:rsidRPr="000C1DF9" w:rsidRDefault="000C1DF9" w:rsidP="000C1DF9">
      <w:pPr>
        <w:spacing w:line="281" w:lineRule="auto"/>
        <w:jc w:val="center"/>
        <w:rPr>
          <w:rFonts w:ascii="Arial" w:hAnsi="Arial" w:cs="Arial"/>
          <w:i/>
          <w:iCs/>
          <w:lang w:val="de-DE"/>
        </w:rPr>
      </w:pPr>
      <w:r w:rsidRPr="000C1DF9">
        <w:rPr>
          <w:rFonts w:ascii="Arial" w:hAnsi="Arial" w:cs="Arial"/>
          <w:i/>
          <w:iCs/>
          <w:lang w:val="de-DE"/>
        </w:rPr>
        <w:t xml:space="preserve">PH </w:t>
      </w:r>
      <w:proofErr w:type="spellStart"/>
      <w:r w:rsidRPr="000C1DF9">
        <w:rPr>
          <w:rFonts w:ascii="Arial" w:hAnsi="Arial" w:cs="Arial"/>
          <w:i/>
          <w:iCs/>
          <w:lang w:val="de-DE"/>
        </w:rPr>
        <w:t>Cell</w:t>
      </w:r>
      <w:proofErr w:type="spellEnd"/>
      <w:r w:rsidRPr="000C1DF9">
        <w:rPr>
          <w:rFonts w:ascii="Arial" w:hAnsi="Arial" w:cs="Arial"/>
          <w:i/>
          <w:iCs/>
          <w:lang w:val="de-DE"/>
        </w:rPr>
        <w:t xml:space="preserve"> Twin </w:t>
      </w:r>
      <w:proofErr w:type="spellStart"/>
      <w:r w:rsidRPr="000C1DF9">
        <w:rPr>
          <w:rFonts w:ascii="Arial" w:hAnsi="Arial" w:cs="Arial"/>
          <w:i/>
          <w:iCs/>
          <w:lang w:val="de-DE"/>
        </w:rPr>
        <w:t>with</w:t>
      </w:r>
      <w:proofErr w:type="spellEnd"/>
      <w:r w:rsidRPr="000C1DF9">
        <w:rPr>
          <w:rFonts w:ascii="Arial" w:hAnsi="Arial" w:cs="Arial"/>
          <w:i/>
          <w:iCs/>
          <w:lang w:val="de-DE"/>
        </w:rPr>
        <w:t xml:space="preserve"> DMU 50 and DMU 65 H </w:t>
      </w:r>
      <w:proofErr w:type="spellStart"/>
      <w:r w:rsidRPr="000C1DF9">
        <w:rPr>
          <w:rFonts w:ascii="Arial" w:hAnsi="Arial" w:cs="Arial"/>
          <w:i/>
          <w:iCs/>
          <w:lang w:val="de-DE"/>
        </w:rPr>
        <w:t>monoBLOCK</w:t>
      </w:r>
      <w:proofErr w:type="spellEnd"/>
    </w:p>
    <w:p w14:paraId="0842E29F" w14:textId="77777777" w:rsidR="00E47A9A" w:rsidRDefault="00E47A9A" w:rsidP="00E47A9A">
      <w:pPr>
        <w:spacing w:line="281" w:lineRule="auto"/>
        <w:jc w:val="both"/>
        <w:rPr>
          <w:rFonts w:ascii="Arial" w:hAnsi="Arial" w:cs="Arial"/>
          <w:lang w:val="de-DE"/>
        </w:rPr>
      </w:pPr>
      <w:r w:rsidRPr="008D643F">
        <w:rPr>
          <w:rFonts w:ascii="Arial" w:hAnsi="Arial" w:cs="Arial"/>
          <w:noProof/>
          <w:lang w:val="de-DE" w:eastAsia="de-DE"/>
        </w:rPr>
        <w:drawing>
          <wp:inline distT="0" distB="0" distL="0" distR="0" wp14:anchorId="4E90F667" wp14:editId="2A49ACF4">
            <wp:extent cx="4107180" cy="2498425"/>
            <wp:effectExtent l="0" t="0" r="7620" b="0"/>
            <wp:docPr id="2" name="Grafik 2" descr="Ein Bild, das Elektronik,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Elektronik, Computer enthält.&#10;&#10;Automatisch generierte Beschreibung"/>
                    <pic:cNvPicPr/>
                  </pic:nvPicPr>
                  <pic:blipFill>
                    <a:blip r:embed="rId9"/>
                    <a:stretch>
                      <a:fillRect/>
                    </a:stretch>
                  </pic:blipFill>
                  <pic:spPr>
                    <a:xfrm>
                      <a:off x="0" y="0"/>
                      <a:ext cx="4111484" cy="2501043"/>
                    </a:xfrm>
                    <a:prstGeom prst="rect">
                      <a:avLst/>
                    </a:prstGeom>
                  </pic:spPr>
                </pic:pic>
              </a:graphicData>
            </a:graphic>
          </wp:inline>
        </w:drawing>
      </w:r>
    </w:p>
    <w:p w14:paraId="6C6272FD" w14:textId="77777777" w:rsidR="000C1DF9" w:rsidRPr="000C1DF9" w:rsidRDefault="000C1DF9" w:rsidP="000C1DF9">
      <w:pPr>
        <w:spacing w:line="281" w:lineRule="auto"/>
        <w:jc w:val="center"/>
        <w:rPr>
          <w:rFonts w:ascii="Arial" w:hAnsi="Arial" w:cs="Arial"/>
          <w:i/>
          <w:iCs/>
          <w:lang w:val="de-DE"/>
        </w:rPr>
      </w:pPr>
      <w:proofErr w:type="spellStart"/>
      <w:r w:rsidRPr="000C1DF9">
        <w:rPr>
          <w:rFonts w:ascii="Arial" w:hAnsi="Arial" w:cs="Arial"/>
          <w:i/>
          <w:iCs/>
          <w:lang w:val="de-DE"/>
        </w:rPr>
        <w:t>Retrofittable</w:t>
      </w:r>
      <w:proofErr w:type="spellEnd"/>
      <w:r w:rsidRPr="000C1DF9">
        <w:rPr>
          <w:rFonts w:ascii="Arial" w:hAnsi="Arial" w:cs="Arial"/>
          <w:i/>
          <w:iCs/>
          <w:lang w:val="de-DE"/>
        </w:rPr>
        <w:t xml:space="preserve">: Connection </w:t>
      </w:r>
      <w:proofErr w:type="spellStart"/>
      <w:r w:rsidRPr="000C1DF9">
        <w:rPr>
          <w:rFonts w:ascii="Arial" w:hAnsi="Arial" w:cs="Arial"/>
          <w:i/>
          <w:iCs/>
          <w:lang w:val="de-DE"/>
        </w:rPr>
        <w:t>to</w:t>
      </w:r>
      <w:proofErr w:type="spellEnd"/>
      <w:r w:rsidRPr="000C1DF9">
        <w:rPr>
          <w:rFonts w:ascii="Arial" w:hAnsi="Arial" w:cs="Arial"/>
          <w:i/>
          <w:iCs/>
          <w:lang w:val="de-DE"/>
        </w:rPr>
        <w:t xml:space="preserve"> </w:t>
      </w:r>
      <w:proofErr w:type="spellStart"/>
      <w:r w:rsidRPr="000C1DF9">
        <w:rPr>
          <w:rFonts w:ascii="Arial" w:hAnsi="Arial" w:cs="Arial"/>
          <w:i/>
          <w:iCs/>
          <w:lang w:val="de-DE"/>
        </w:rPr>
        <w:t>existing</w:t>
      </w:r>
      <w:proofErr w:type="spellEnd"/>
      <w:r w:rsidRPr="000C1DF9">
        <w:rPr>
          <w:rFonts w:ascii="Arial" w:hAnsi="Arial" w:cs="Arial"/>
          <w:i/>
          <w:iCs/>
          <w:lang w:val="de-DE"/>
        </w:rPr>
        <w:t xml:space="preserve"> </w:t>
      </w:r>
      <w:proofErr w:type="spellStart"/>
      <w:r w:rsidRPr="000C1DF9">
        <w:rPr>
          <w:rFonts w:ascii="Arial" w:hAnsi="Arial" w:cs="Arial"/>
          <w:i/>
          <w:iCs/>
          <w:lang w:val="de-DE"/>
        </w:rPr>
        <w:t>machine</w:t>
      </w:r>
      <w:proofErr w:type="spellEnd"/>
      <w:r w:rsidRPr="000C1DF9">
        <w:rPr>
          <w:rFonts w:ascii="Arial" w:hAnsi="Arial" w:cs="Arial"/>
          <w:i/>
          <w:iCs/>
          <w:lang w:val="de-DE"/>
        </w:rPr>
        <w:t xml:space="preserve"> </w:t>
      </w:r>
      <w:proofErr w:type="spellStart"/>
      <w:r w:rsidRPr="000C1DF9">
        <w:rPr>
          <w:rFonts w:ascii="Arial" w:hAnsi="Arial" w:cs="Arial"/>
          <w:i/>
          <w:iCs/>
          <w:lang w:val="de-DE"/>
        </w:rPr>
        <w:t>with</w:t>
      </w:r>
      <w:proofErr w:type="spellEnd"/>
      <w:r w:rsidRPr="000C1DF9">
        <w:rPr>
          <w:rFonts w:ascii="Arial" w:hAnsi="Arial" w:cs="Arial"/>
          <w:i/>
          <w:iCs/>
          <w:lang w:val="de-DE"/>
        </w:rPr>
        <w:t xml:space="preserve"> </w:t>
      </w:r>
      <w:proofErr w:type="spellStart"/>
      <w:r w:rsidRPr="000C1DF9">
        <w:rPr>
          <w:rFonts w:ascii="Arial" w:hAnsi="Arial" w:cs="Arial"/>
          <w:i/>
          <w:iCs/>
          <w:lang w:val="de-DE"/>
        </w:rPr>
        <w:t>already</w:t>
      </w:r>
      <w:proofErr w:type="spellEnd"/>
      <w:r w:rsidRPr="000C1DF9">
        <w:rPr>
          <w:rFonts w:ascii="Arial" w:hAnsi="Arial" w:cs="Arial"/>
          <w:i/>
          <w:iCs/>
          <w:lang w:val="de-DE"/>
        </w:rPr>
        <w:t xml:space="preserve"> </w:t>
      </w:r>
      <w:proofErr w:type="spellStart"/>
      <w:r w:rsidRPr="000C1DF9">
        <w:rPr>
          <w:rFonts w:ascii="Arial" w:hAnsi="Arial" w:cs="Arial"/>
          <w:i/>
          <w:iCs/>
          <w:lang w:val="de-DE"/>
        </w:rPr>
        <w:t>integrated</w:t>
      </w:r>
      <w:proofErr w:type="spellEnd"/>
      <w:r w:rsidRPr="000C1DF9">
        <w:rPr>
          <w:rFonts w:ascii="Arial" w:hAnsi="Arial" w:cs="Arial"/>
          <w:i/>
          <w:iCs/>
          <w:lang w:val="de-DE"/>
        </w:rPr>
        <w:t xml:space="preserve"> </w:t>
      </w:r>
      <w:proofErr w:type="spellStart"/>
      <w:r w:rsidRPr="000C1DF9">
        <w:rPr>
          <w:rFonts w:ascii="Arial" w:hAnsi="Arial" w:cs="Arial"/>
          <w:i/>
          <w:iCs/>
          <w:lang w:val="de-DE"/>
        </w:rPr>
        <w:t>automation</w:t>
      </w:r>
      <w:proofErr w:type="spellEnd"/>
    </w:p>
    <w:p w14:paraId="3F05F2AF" w14:textId="17E24B33" w:rsidR="0047439E" w:rsidRPr="00CC0C72" w:rsidRDefault="000C1DF9" w:rsidP="000C1DF9">
      <w:pPr>
        <w:spacing w:line="281" w:lineRule="auto"/>
        <w:jc w:val="center"/>
        <w:rPr>
          <w:rFonts w:ascii="Arial" w:hAnsi="Arial" w:cs="Arial"/>
          <w:i/>
          <w:iCs/>
          <w:lang w:val="de-DE"/>
        </w:rPr>
      </w:pPr>
      <w:r w:rsidRPr="000C1DF9">
        <w:rPr>
          <w:rFonts w:ascii="Arial" w:hAnsi="Arial" w:cs="Arial"/>
          <w:i/>
          <w:iCs/>
          <w:lang w:val="de-DE"/>
        </w:rPr>
        <w:t xml:space="preserve">interface possible. </w:t>
      </w:r>
      <w:proofErr w:type="spellStart"/>
      <w:r w:rsidRPr="000C1DF9">
        <w:rPr>
          <w:rFonts w:ascii="Arial" w:hAnsi="Arial" w:cs="Arial"/>
          <w:i/>
          <w:iCs/>
          <w:lang w:val="de-DE"/>
        </w:rPr>
        <w:t>Extendable</w:t>
      </w:r>
      <w:proofErr w:type="spellEnd"/>
      <w:r w:rsidRPr="000C1DF9">
        <w:rPr>
          <w:rFonts w:ascii="Arial" w:hAnsi="Arial" w:cs="Arial"/>
          <w:i/>
          <w:iCs/>
          <w:lang w:val="de-DE"/>
        </w:rPr>
        <w:t xml:space="preserve">: Subsequent </w:t>
      </w:r>
      <w:proofErr w:type="spellStart"/>
      <w:r w:rsidRPr="000C1DF9">
        <w:rPr>
          <w:rFonts w:ascii="Arial" w:hAnsi="Arial" w:cs="Arial"/>
          <w:i/>
          <w:iCs/>
          <w:lang w:val="de-DE"/>
        </w:rPr>
        <w:t>connection</w:t>
      </w:r>
      <w:proofErr w:type="spellEnd"/>
      <w:r w:rsidRPr="000C1DF9">
        <w:rPr>
          <w:rFonts w:ascii="Arial" w:hAnsi="Arial" w:cs="Arial"/>
          <w:i/>
          <w:iCs/>
          <w:lang w:val="de-DE"/>
        </w:rPr>
        <w:t xml:space="preserve"> </w:t>
      </w:r>
      <w:proofErr w:type="spellStart"/>
      <w:r w:rsidRPr="000C1DF9">
        <w:rPr>
          <w:rFonts w:ascii="Arial" w:hAnsi="Arial" w:cs="Arial"/>
          <w:i/>
          <w:iCs/>
          <w:lang w:val="de-DE"/>
        </w:rPr>
        <w:t>of</w:t>
      </w:r>
      <w:proofErr w:type="spellEnd"/>
      <w:r w:rsidRPr="000C1DF9">
        <w:rPr>
          <w:rFonts w:ascii="Arial" w:hAnsi="Arial" w:cs="Arial"/>
          <w:i/>
          <w:iCs/>
          <w:lang w:val="de-DE"/>
        </w:rPr>
        <w:t xml:space="preserve"> a </w:t>
      </w:r>
      <w:proofErr w:type="spellStart"/>
      <w:r w:rsidRPr="000C1DF9">
        <w:rPr>
          <w:rFonts w:ascii="Arial" w:hAnsi="Arial" w:cs="Arial"/>
          <w:i/>
          <w:iCs/>
          <w:lang w:val="de-DE"/>
        </w:rPr>
        <w:t>second</w:t>
      </w:r>
      <w:proofErr w:type="spellEnd"/>
      <w:r w:rsidRPr="000C1DF9">
        <w:rPr>
          <w:rFonts w:ascii="Arial" w:hAnsi="Arial" w:cs="Arial"/>
          <w:i/>
          <w:iCs/>
          <w:lang w:val="de-DE"/>
        </w:rPr>
        <w:t xml:space="preserve"> </w:t>
      </w:r>
      <w:proofErr w:type="spellStart"/>
      <w:r w:rsidRPr="000C1DF9">
        <w:rPr>
          <w:rFonts w:ascii="Arial" w:hAnsi="Arial" w:cs="Arial"/>
          <w:i/>
          <w:iCs/>
          <w:lang w:val="de-DE"/>
        </w:rPr>
        <w:t>machine</w:t>
      </w:r>
      <w:proofErr w:type="spellEnd"/>
      <w:r w:rsidRPr="000C1DF9">
        <w:rPr>
          <w:rFonts w:ascii="Arial" w:hAnsi="Arial" w:cs="Arial"/>
          <w:i/>
          <w:iCs/>
          <w:lang w:val="de-DE"/>
        </w:rPr>
        <w:t xml:space="preserve"> possible.</w:t>
      </w:r>
    </w:p>
    <w:sectPr w:rsidR="0047439E" w:rsidRPr="00CC0C72" w:rsidSect="00EE5D7D">
      <w:headerReference w:type="even" r:id="rId10"/>
      <w:headerReference w:type="default" r:id="rId11"/>
      <w:footerReference w:type="default" r:id="rId12"/>
      <w:headerReference w:type="first" r:id="rId13"/>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C3AC" w14:textId="77777777" w:rsidR="00502D6F" w:rsidRDefault="00502D6F" w:rsidP="00C0359A">
      <w:r>
        <w:separator/>
      </w:r>
    </w:p>
  </w:endnote>
  <w:endnote w:type="continuationSeparator" w:id="0">
    <w:p w14:paraId="5C90E245" w14:textId="77777777" w:rsidR="00502D6F" w:rsidRDefault="00502D6F"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E47A9A" w:rsidRPr="00E47A9A">
          <w:rPr>
            <w:rFonts w:ascii="Arial" w:hAnsi="Arial" w:cs="Arial"/>
            <w:noProof/>
            <w:sz w:val="18"/>
            <w:szCs w:val="18"/>
            <w:lang w:val="de-DE"/>
          </w:rPr>
          <w:t>1</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EC3F5" w14:textId="77777777" w:rsidR="00502D6F" w:rsidRDefault="00502D6F" w:rsidP="00C0359A">
      <w:r>
        <w:separator/>
      </w:r>
    </w:p>
  </w:footnote>
  <w:footnote w:type="continuationSeparator" w:id="0">
    <w:p w14:paraId="7DE1EF0E" w14:textId="77777777" w:rsidR="00502D6F" w:rsidRDefault="00502D6F"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C1DF9">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5F184773">
          <wp:simplePos x="0" y="0"/>
          <wp:positionH relativeFrom="column">
            <wp:posOffset>-630555</wp:posOffset>
          </wp:positionH>
          <wp:positionV relativeFrom="paragraph">
            <wp:posOffset>-424815</wp:posOffset>
          </wp:positionV>
          <wp:extent cx="7593450"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50"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C1DF9">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7313077">
    <w:abstractNumId w:val="0"/>
  </w:num>
  <w:num w:numId="2" w16cid:durableId="284389264">
    <w:abstractNumId w:val="10"/>
  </w:num>
  <w:num w:numId="3" w16cid:durableId="1026297163">
    <w:abstractNumId w:val="4"/>
  </w:num>
  <w:num w:numId="4" w16cid:durableId="1994945418">
    <w:abstractNumId w:val="7"/>
  </w:num>
  <w:num w:numId="5" w16cid:durableId="2078892775">
    <w:abstractNumId w:val="14"/>
  </w:num>
  <w:num w:numId="6" w16cid:durableId="2095276480">
    <w:abstractNumId w:val="18"/>
  </w:num>
  <w:num w:numId="7" w16cid:durableId="814101632">
    <w:abstractNumId w:val="9"/>
  </w:num>
  <w:num w:numId="8" w16cid:durableId="769282023">
    <w:abstractNumId w:val="8"/>
  </w:num>
  <w:num w:numId="9" w16cid:durableId="761872987">
    <w:abstractNumId w:val="13"/>
  </w:num>
  <w:num w:numId="10" w16cid:durableId="1337341460">
    <w:abstractNumId w:val="3"/>
  </w:num>
  <w:num w:numId="11" w16cid:durableId="1142769935">
    <w:abstractNumId w:val="2"/>
  </w:num>
  <w:num w:numId="12" w16cid:durableId="402872616">
    <w:abstractNumId w:val="16"/>
  </w:num>
  <w:num w:numId="13" w16cid:durableId="1610241146">
    <w:abstractNumId w:val="1"/>
  </w:num>
  <w:num w:numId="14" w16cid:durableId="456485557">
    <w:abstractNumId w:val="15"/>
  </w:num>
  <w:num w:numId="15" w16cid:durableId="816343736">
    <w:abstractNumId w:val="11"/>
  </w:num>
  <w:num w:numId="16" w16cid:durableId="468015379">
    <w:abstractNumId w:val="12"/>
  </w:num>
  <w:num w:numId="17" w16cid:durableId="421535890">
    <w:abstractNumId w:val="6"/>
  </w:num>
  <w:num w:numId="18" w16cid:durableId="774205579">
    <w:abstractNumId w:val="17"/>
  </w:num>
  <w:num w:numId="19" w16cid:durableId="14805362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3687"/>
    <w:rsid w:val="00071B80"/>
    <w:rsid w:val="00074554"/>
    <w:rsid w:val="00080A3F"/>
    <w:rsid w:val="00091098"/>
    <w:rsid w:val="00091F70"/>
    <w:rsid w:val="000963D6"/>
    <w:rsid w:val="000A2739"/>
    <w:rsid w:val="000B169C"/>
    <w:rsid w:val="000B3DC4"/>
    <w:rsid w:val="000B7494"/>
    <w:rsid w:val="000C1056"/>
    <w:rsid w:val="000C1DF9"/>
    <w:rsid w:val="000C3B05"/>
    <w:rsid w:val="000D2B59"/>
    <w:rsid w:val="000D3385"/>
    <w:rsid w:val="000D6371"/>
    <w:rsid w:val="001031E4"/>
    <w:rsid w:val="00103E32"/>
    <w:rsid w:val="0010633D"/>
    <w:rsid w:val="00107FCF"/>
    <w:rsid w:val="00120767"/>
    <w:rsid w:val="00121EE5"/>
    <w:rsid w:val="0013732E"/>
    <w:rsid w:val="001461C3"/>
    <w:rsid w:val="00152254"/>
    <w:rsid w:val="001546E6"/>
    <w:rsid w:val="0016444B"/>
    <w:rsid w:val="00165E04"/>
    <w:rsid w:val="00166839"/>
    <w:rsid w:val="00174597"/>
    <w:rsid w:val="00176DB5"/>
    <w:rsid w:val="00177148"/>
    <w:rsid w:val="001802A8"/>
    <w:rsid w:val="00181B0E"/>
    <w:rsid w:val="001871C3"/>
    <w:rsid w:val="001901B3"/>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2074CC"/>
    <w:rsid w:val="002130FF"/>
    <w:rsid w:val="00215C09"/>
    <w:rsid w:val="002214CD"/>
    <w:rsid w:val="002275BE"/>
    <w:rsid w:val="0023090A"/>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5F85"/>
    <w:rsid w:val="00291E7F"/>
    <w:rsid w:val="0029242A"/>
    <w:rsid w:val="002940C4"/>
    <w:rsid w:val="00294571"/>
    <w:rsid w:val="002A38E4"/>
    <w:rsid w:val="002A4536"/>
    <w:rsid w:val="002D0F49"/>
    <w:rsid w:val="002D2D9D"/>
    <w:rsid w:val="002E6F6B"/>
    <w:rsid w:val="002F016F"/>
    <w:rsid w:val="002F1619"/>
    <w:rsid w:val="002F1F67"/>
    <w:rsid w:val="002F2201"/>
    <w:rsid w:val="003013BD"/>
    <w:rsid w:val="00302164"/>
    <w:rsid w:val="003049DF"/>
    <w:rsid w:val="003059F3"/>
    <w:rsid w:val="00311959"/>
    <w:rsid w:val="00311E5F"/>
    <w:rsid w:val="00314916"/>
    <w:rsid w:val="00316A68"/>
    <w:rsid w:val="003178AC"/>
    <w:rsid w:val="00321A9E"/>
    <w:rsid w:val="00321F92"/>
    <w:rsid w:val="00322485"/>
    <w:rsid w:val="00331BF6"/>
    <w:rsid w:val="00336672"/>
    <w:rsid w:val="00343F5B"/>
    <w:rsid w:val="003469A1"/>
    <w:rsid w:val="003472DF"/>
    <w:rsid w:val="0035207C"/>
    <w:rsid w:val="00353B6A"/>
    <w:rsid w:val="00355DFD"/>
    <w:rsid w:val="00355FFA"/>
    <w:rsid w:val="003575BE"/>
    <w:rsid w:val="00360D9A"/>
    <w:rsid w:val="003660CC"/>
    <w:rsid w:val="003818D3"/>
    <w:rsid w:val="00381AE3"/>
    <w:rsid w:val="003822AD"/>
    <w:rsid w:val="003851A4"/>
    <w:rsid w:val="003A482E"/>
    <w:rsid w:val="003B01CF"/>
    <w:rsid w:val="003B1606"/>
    <w:rsid w:val="003B2A45"/>
    <w:rsid w:val="003B2FDD"/>
    <w:rsid w:val="003B488F"/>
    <w:rsid w:val="003C3E23"/>
    <w:rsid w:val="003C5F5C"/>
    <w:rsid w:val="003C7F19"/>
    <w:rsid w:val="003D6295"/>
    <w:rsid w:val="003E6F02"/>
    <w:rsid w:val="003F3424"/>
    <w:rsid w:val="003F470C"/>
    <w:rsid w:val="003F4A7F"/>
    <w:rsid w:val="004054D0"/>
    <w:rsid w:val="004075C7"/>
    <w:rsid w:val="00413623"/>
    <w:rsid w:val="00414F4A"/>
    <w:rsid w:val="00415626"/>
    <w:rsid w:val="00430770"/>
    <w:rsid w:val="00433BBD"/>
    <w:rsid w:val="004343ED"/>
    <w:rsid w:val="00444549"/>
    <w:rsid w:val="0044616C"/>
    <w:rsid w:val="00450DEC"/>
    <w:rsid w:val="00455FC3"/>
    <w:rsid w:val="0046165B"/>
    <w:rsid w:val="0046342C"/>
    <w:rsid w:val="004644EE"/>
    <w:rsid w:val="00465EAE"/>
    <w:rsid w:val="00467FF5"/>
    <w:rsid w:val="0047439E"/>
    <w:rsid w:val="00474491"/>
    <w:rsid w:val="00480C8D"/>
    <w:rsid w:val="00487868"/>
    <w:rsid w:val="00487A04"/>
    <w:rsid w:val="004A41BC"/>
    <w:rsid w:val="004B2F93"/>
    <w:rsid w:val="004C2098"/>
    <w:rsid w:val="004E6FBE"/>
    <w:rsid w:val="004F29CB"/>
    <w:rsid w:val="004F795B"/>
    <w:rsid w:val="0050104E"/>
    <w:rsid w:val="00501499"/>
    <w:rsid w:val="00502D6F"/>
    <w:rsid w:val="0051368B"/>
    <w:rsid w:val="00523FDD"/>
    <w:rsid w:val="00534F0E"/>
    <w:rsid w:val="0053763E"/>
    <w:rsid w:val="00552791"/>
    <w:rsid w:val="005550B4"/>
    <w:rsid w:val="00562520"/>
    <w:rsid w:val="00563691"/>
    <w:rsid w:val="0056436A"/>
    <w:rsid w:val="00571430"/>
    <w:rsid w:val="00576CB2"/>
    <w:rsid w:val="00581DB3"/>
    <w:rsid w:val="0058363D"/>
    <w:rsid w:val="00591881"/>
    <w:rsid w:val="005B239C"/>
    <w:rsid w:val="005B4B83"/>
    <w:rsid w:val="005B7C94"/>
    <w:rsid w:val="005C00CD"/>
    <w:rsid w:val="005D702C"/>
    <w:rsid w:val="005E064F"/>
    <w:rsid w:val="005E56A7"/>
    <w:rsid w:val="005E5ED5"/>
    <w:rsid w:val="005E6D35"/>
    <w:rsid w:val="005F2827"/>
    <w:rsid w:val="005F4511"/>
    <w:rsid w:val="005F51CC"/>
    <w:rsid w:val="006007FB"/>
    <w:rsid w:val="00606436"/>
    <w:rsid w:val="00612C12"/>
    <w:rsid w:val="00621407"/>
    <w:rsid w:val="006227CF"/>
    <w:rsid w:val="0062399C"/>
    <w:rsid w:val="00626FB1"/>
    <w:rsid w:val="00627F91"/>
    <w:rsid w:val="00631C3A"/>
    <w:rsid w:val="006355D9"/>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C337C"/>
    <w:rsid w:val="006C5CEC"/>
    <w:rsid w:val="006D4BD2"/>
    <w:rsid w:val="006D6113"/>
    <w:rsid w:val="006E2E6C"/>
    <w:rsid w:val="006E3609"/>
    <w:rsid w:val="006E4044"/>
    <w:rsid w:val="006F0385"/>
    <w:rsid w:val="00703161"/>
    <w:rsid w:val="00716215"/>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294D"/>
    <w:rsid w:val="007B2BCB"/>
    <w:rsid w:val="007B3485"/>
    <w:rsid w:val="007B715C"/>
    <w:rsid w:val="007C00FA"/>
    <w:rsid w:val="007C6CC3"/>
    <w:rsid w:val="007D47CF"/>
    <w:rsid w:val="007D4AC5"/>
    <w:rsid w:val="007D7894"/>
    <w:rsid w:val="007E2664"/>
    <w:rsid w:val="00810832"/>
    <w:rsid w:val="00820469"/>
    <w:rsid w:val="00820FA7"/>
    <w:rsid w:val="00823555"/>
    <w:rsid w:val="00823C35"/>
    <w:rsid w:val="008246B8"/>
    <w:rsid w:val="0083111A"/>
    <w:rsid w:val="0083421D"/>
    <w:rsid w:val="00841EC5"/>
    <w:rsid w:val="00843DA0"/>
    <w:rsid w:val="00845D17"/>
    <w:rsid w:val="00851743"/>
    <w:rsid w:val="0085189B"/>
    <w:rsid w:val="00851F7E"/>
    <w:rsid w:val="0085262E"/>
    <w:rsid w:val="00865BA1"/>
    <w:rsid w:val="008700FC"/>
    <w:rsid w:val="00873BF3"/>
    <w:rsid w:val="00877011"/>
    <w:rsid w:val="00880BE8"/>
    <w:rsid w:val="00882429"/>
    <w:rsid w:val="00887044"/>
    <w:rsid w:val="008872B9"/>
    <w:rsid w:val="008A00D8"/>
    <w:rsid w:val="008A1097"/>
    <w:rsid w:val="008A4C71"/>
    <w:rsid w:val="008B7B99"/>
    <w:rsid w:val="008C0640"/>
    <w:rsid w:val="008C6B3A"/>
    <w:rsid w:val="008D3F73"/>
    <w:rsid w:val="008D7C77"/>
    <w:rsid w:val="008E2D8A"/>
    <w:rsid w:val="008E4C84"/>
    <w:rsid w:val="008E5765"/>
    <w:rsid w:val="008F03F7"/>
    <w:rsid w:val="008F298C"/>
    <w:rsid w:val="00903FC7"/>
    <w:rsid w:val="009064E4"/>
    <w:rsid w:val="009136BE"/>
    <w:rsid w:val="0092227D"/>
    <w:rsid w:val="009279F8"/>
    <w:rsid w:val="00936F5A"/>
    <w:rsid w:val="009447EB"/>
    <w:rsid w:val="009512D8"/>
    <w:rsid w:val="0095692E"/>
    <w:rsid w:val="00957332"/>
    <w:rsid w:val="00970571"/>
    <w:rsid w:val="009707B3"/>
    <w:rsid w:val="00970DE4"/>
    <w:rsid w:val="0097776C"/>
    <w:rsid w:val="00985175"/>
    <w:rsid w:val="00990070"/>
    <w:rsid w:val="00996EA0"/>
    <w:rsid w:val="009A2E4B"/>
    <w:rsid w:val="009A4E1F"/>
    <w:rsid w:val="009A79CB"/>
    <w:rsid w:val="009C4351"/>
    <w:rsid w:val="009D48FA"/>
    <w:rsid w:val="009D5C80"/>
    <w:rsid w:val="009E2EB8"/>
    <w:rsid w:val="009E317D"/>
    <w:rsid w:val="009E4014"/>
    <w:rsid w:val="009F454A"/>
    <w:rsid w:val="009F456B"/>
    <w:rsid w:val="009F6505"/>
    <w:rsid w:val="00A00615"/>
    <w:rsid w:val="00A059AF"/>
    <w:rsid w:val="00A169E1"/>
    <w:rsid w:val="00A210AE"/>
    <w:rsid w:val="00A23910"/>
    <w:rsid w:val="00A3088F"/>
    <w:rsid w:val="00A3096A"/>
    <w:rsid w:val="00A3132E"/>
    <w:rsid w:val="00A32841"/>
    <w:rsid w:val="00A32B46"/>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B48FB"/>
    <w:rsid w:val="00AB6AE8"/>
    <w:rsid w:val="00AD15F3"/>
    <w:rsid w:val="00AD3A60"/>
    <w:rsid w:val="00AE5E0B"/>
    <w:rsid w:val="00AE622E"/>
    <w:rsid w:val="00AF0DFE"/>
    <w:rsid w:val="00AF65B4"/>
    <w:rsid w:val="00B06513"/>
    <w:rsid w:val="00B13117"/>
    <w:rsid w:val="00B16598"/>
    <w:rsid w:val="00B3142A"/>
    <w:rsid w:val="00B333EA"/>
    <w:rsid w:val="00B35524"/>
    <w:rsid w:val="00B60FB4"/>
    <w:rsid w:val="00B6123F"/>
    <w:rsid w:val="00B62E53"/>
    <w:rsid w:val="00B66322"/>
    <w:rsid w:val="00B73628"/>
    <w:rsid w:val="00B74450"/>
    <w:rsid w:val="00B74983"/>
    <w:rsid w:val="00B771E1"/>
    <w:rsid w:val="00B8213D"/>
    <w:rsid w:val="00B823B8"/>
    <w:rsid w:val="00B90386"/>
    <w:rsid w:val="00B90FE8"/>
    <w:rsid w:val="00B97F35"/>
    <w:rsid w:val="00BA3F3A"/>
    <w:rsid w:val="00BA771E"/>
    <w:rsid w:val="00BB4526"/>
    <w:rsid w:val="00BC09E7"/>
    <w:rsid w:val="00BD2841"/>
    <w:rsid w:val="00BD612B"/>
    <w:rsid w:val="00BE2EB5"/>
    <w:rsid w:val="00BE3DF0"/>
    <w:rsid w:val="00BE45EE"/>
    <w:rsid w:val="00BF0C10"/>
    <w:rsid w:val="00BF262F"/>
    <w:rsid w:val="00BF7EBE"/>
    <w:rsid w:val="00C0359A"/>
    <w:rsid w:val="00C060EF"/>
    <w:rsid w:val="00C20217"/>
    <w:rsid w:val="00C23322"/>
    <w:rsid w:val="00C3262A"/>
    <w:rsid w:val="00C33F70"/>
    <w:rsid w:val="00C433FC"/>
    <w:rsid w:val="00C560D1"/>
    <w:rsid w:val="00C57BE0"/>
    <w:rsid w:val="00C62F24"/>
    <w:rsid w:val="00C63128"/>
    <w:rsid w:val="00C63B7F"/>
    <w:rsid w:val="00C669A8"/>
    <w:rsid w:val="00C74A41"/>
    <w:rsid w:val="00C760AF"/>
    <w:rsid w:val="00C76D33"/>
    <w:rsid w:val="00C809E7"/>
    <w:rsid w:val="00C83443"/>
    <w:rsid w:val="00C9097A"/>
    <w:rsid w:val="00C93137"/>
    <w:rsid w:val="00C942A8"/>
    <w:rsid w:val="00CA04A1"/>
    <w:rsid w:val="00CB3AFE"/>
    <w:rsid w:val="00CC0C72"/>
    <w:rsid w:val="00CC41CD"/>
    <w:rsid w:val="00CC78F3"/>
    <w:rsid w:val="00CD60D7"/>
    <w:rsid w:val="00CE565A"/>
    <w:rsid w:val="00CF1E05"/>
    <w:rsid w:val="00CF2308"/>
    <w:rsid w:val="00D113B2"/>
    <w:rsid w:val="00D13029"/>
    <w:rsid w:val="00D167B6"/>
    <w:rsid w:val="00D24287"/>
    <w:rsid w:val="00D253BC"/>
    <w:rsid w:val="00D33A7A"/>
    <w:rsid w:val="00D3573A"/>
    <w:rsid w:val="00D36287"/>
    <w:rsid w:val="00D36899"/>
    <w:rsid w:val="00D43764"/>
    <w:rsid w:val="00D44E3C"/>
    <w:rsid w:val="00D502F1"/>
    <w:rsid w:val="00D61DE5"/>
    <w:rsid w:val="00D63F84"/>
    <w:rsid w:val="00D645B8"/>
    <w:rsid w:val="00D7157A"/>
    <w:rsid w:val="00D74474"/>
    <w:rsid w:val="00D813B9"/>
    <w:rsid w:val="00D9101D"/>
    <w:rsid w:val="00D9379A"/>
    <w:rsid w:val="00D97390"/>
    <w:rsid w:val="00DA2426"/>
    <w:rsid w:val="00DA5FDB"/>
    <w:rsid w:val="00DA72BB"/>
    <w:rsid w:val="00DB7234"/>
    <w:rsid w:val="00DC55A5"/>
    <w:rsid w:val="00DC6DFD"/>
    <w:rsid w:val="00DC7D2E"/>
    <w:rsid w:val="00DD037F"/>
    <w:rsid w:val="00DD615F"/>
    <w:rsid w:val="00DF00DF"/>
    <w:rsid w:val="00DF2D14"/>
    <w:rsid w:val="00DF34BB"/>
    <w:rsid w:val="00E028A8"/>
    <w:rsid w:val="00E043F7"/>
    <w:rsid w:val="00E0577D"/>
    <w:rsid w:val="00E079AD"/>
    <w:rsid w:val="00E23ED4"/>
    <w:rsid w:val="00E27E58"/>
    <w:rsid w:val="00E349D2"/>
    <w:rsid w:val="00E40FD7"/>
    <w:rsid w:val="00E41B72"/>
    <w:rsid w:val="00E45C91"/>
    <w:rsid w:val="00E47A9A"/>
    <w:rsid w:val="00E51E7B"/>
    <w:rsid w:val="00E5484B"/>
    <w:rsid w:val="00E61D34"/>
    <w:rsid w:val="00E676A4"/>
    <w:rsid w:val="00E85927"/>
    <w:rsid w:val="00E87F36"/>
    <w:rsid w:val="00E92A0B"/>
    <w:rsid w:val="00EA0F33"/>
    <w:rsid w:val="00EB2E05"/>
    <w:rsid w:val="00EC1DDD"/>
    <w:rsid w:val="00EE0528"/>
    <w:rsid w:val="00EE5D7D"/>
    <w:rsid w:val="00EF08D7"/>
    <w:rsid w:val="00EF09A2"/>
    <w:rsid w:val="00EF0E29"/>
    <w:rsid w:val="00F04644"/>
    <w:rsid w:val="00F21CE2"/>
    <w:rsid w:val="00F231F9"/>
    <w:rsid w:val="00F272F1"/>
    <w:rsid w:val="00F27945"/>
    <w:rsid w:val="00F309CC"/>
    <w:rsid w:val="00F31E33"/>
    <w:rsid w:val="00F337CD"/>
    <w:rsid w:val="00F37A5E"/>
    <w:rsid w:val="00F40F90"/>
    <w:rsid w:val="00F546DF"/>
    <w:rsid w:val="00F56607"/>
    <w:rsid w:val="00F6476B"/>
    <w:rsid w:val="00F74A22"/>
    <w:rsid w:val="00F81CE8"/>
    <w:rsid w:val="00F827FB"/>
    <w:rsid w:val="00F84C49"/>
    <w:rsid w:val="00F90A0E"/>
    <w:rsid w:val="00F920F0"/>
    <w:rsid w:val="00F97BE4"/>
    <w:rsid w:val="00FA22C9"/>
    <w:rsid w:val="00FA2698"/>
    <w:rsid w:val="00FA3B24"/>
    <w:rsid w:val="00FA444F"/>
    <w:rsid w:val="00FB1B61"/>
    <w:rsid w:val="00FB4EF2"/>
    <w:rsid w:val="00FB5A2E"/>
    <w:rsid w:val="00FB70DB"/>
    <w:rsid w:val="00FB73B4"/>
    <w:rsid w:val="00FC2C6C"/>
    <w:rsid w:val="00FC3D41"/>
    <w:rsid w:val="00FC7692"/>
    <w:rsid w:val="00FD19BD"/>
    <w:rsid w:val="00FD305F"/>
    <w:rsid w:val="00FD609B"/>
    <w:rsid w:val="00FE1878"/>
    <w:rsid w:val="00FE3537"/>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 w:id="183810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7.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7.emf"/><Relationship Id="rId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E310A-F568-45B7-B80B-FE0D755E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2</Pages>
  <Words>392</Words>
  <Characters>2475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10</cp:revision>
  <cp:lastPrinted>2020-09-29T12:01:00Z</cp:lastPrinted>
  <dcterms:created xsi:type="dcterms:W3CDTF">2022-01-24T14:14:00Z</dcterms:created>
  <dcterms:modified xsi:type="dcterms:W3CDTF">2022-09-06T12:30:00Z</dcterms:modified>
</cp:coreProperties>
</file>